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72" w:rsidRDefault="00F21E72">
      <w:bookmarkStart w:id="0" w:name="_GoBack"/>
      <w:bookmarkEnd w:id="0"/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43419" w:rsidRPr="00F21E72" w:rsidTr="000713E3">
        <w:trPr>
          <w:trHeight w:val="1955"/>
        </w:trPr>
        <w:tc>
          <w:tcPr>
            <w:tcW w:w="4407" w:type="dxa"/>
            <w:gridSpan w:val="2"/>
            <w:hideMark/>
          </w:tcPr>
          <w:p w:rsidR="00543419" w:rsidRPr="00F21E72" w:rsidRDefault="00543419" w:rsidP="00543419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</w:t>
            </w: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ОВЕТ</w:t>
            </w:r>
          </w:p>
          <w:p w:rsidR="00543419" w:rsidRPr="00F21E72" w:rsidRDefault="00543419" w:rsidP="0054341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543419" w:rsidRPr="00F21E72" w:rsidRDefault="00543419" w:rsidP="0054341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543419" w:rsidRPr="00F21E72" w:rsidRDefault="00543419" w:rsidP="0054341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43419" w:rsidRPr="00F21E72" w:rsidRDefault="00543419" w:rsidP="00543419">
            <w:pPr>
              <w:autoSpaceDN w:val="0"/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43419" w:rsidRPr="00F21E72" w:rsidRDefault="00543419" w:rsidP="00543419">
            <w:pPr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43419" w:rsidRPr="00F21E72" w:rsidRDefault="00543419" w:rsidP="00543419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543419" w:rsidRPr="00F21E72" w:rsidRDefault="00543419" w:rsidP="00543419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t xml:space="preserve"> ЧҮПРӘЛЕ</w:t>
            </w:r>
          </w:p>
          <w:p w:rsidR="00543419" w:rsidRPr="00F21E72" w:rsidRDefault="00543419" w:rsidP="00543419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МУНИЦИПАЛЬ РАЙОНЫ</w:t>
            </w:r>
          </w:p>
          <w:p w:rsidR="00543419" w:rsidRPr="00F21E72" w:rsidRDefault="00543419" w:rsidP="00543419">
            <w:pPr>
              <w:autoSpaceDN w:val="0"/>
              <w:spacing w:after="60" w:line="276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ЯНА ƏЛМƏЛЕ АВЫЛ ҖИРЛЕГЕ </w:t>
            </w:r>
            <w:r w:rsidRPr="00F21E72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  <w:tr w:rsidR="00543419" w:rsidRPr="00F21E72" w:rsidTr="000713E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43419" w:rsidRPr="00F21E72" w:rsidRDefault="00083C1E" w:rsidP="00543419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E72">
              <w:rPr>
                <w:rFonts w:ascii="Arial" w:eastAsia="Times New Roman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543419" w:rsidRPr="00F21E72" w:rsidRDefault="00543419" w:rsidP="00543419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43419" w:rsidRPr="00F21E72" w:rsidRDefault="00543419" w:rsidP="0054341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E72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КАРАР</w:t>
      </w:r>
    </w:p>
    <w:p w:rsidR="00543419" w:rsidRPr="00F21E72" w:rsidRDefault="00543419" w:rsidP="00543419">
      <w:pPr>
        <w:spacing w:after="60" w:line="252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F21E72">
        <w:rPr>
          <w:rFonts w:ascii="Arial" w:eastAsia="Times New Roman" w:hAnsi="Arial" w:cs="Arial"/>
          <w:sz w:val="20"/>
          <w:szCs w:val="20"/>
        </w:rPr>
        <w:t>Яңа</w:t>
      </w:r>
      <w:proofErr w:type="spellEnd"/>
      <w:r w:rsidRPr="00F21E7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0"/>
          <w:szCs w:val="20"/>
        </w:rPr>
        <w:t>Әлмәле</w:t>
      </w:r>
      <w:proofErr w:type="spellEnd"/>
      <w:r w:rsidRPr="00F21E7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0"/>
          <w:szCs w:val="20"/>
        </w:rPr>
        <w:t>авылы</w:t>
      </w:r>
      <w:proofErr w:type="spellEnd"/>
      <w:r w:rsidRPr="00F21E72">
        <w:rPr>
          <w:rFonts w:ascii="Arial" w:eastAsia="Times New Roman" w:hAnsi="Arial" w:cs="Arial"/>
          <w:sz w:val="20"/>
          <w:szCs w:val="20"/>
        </w:rPr>
        <w:t xml:space="preserve">  </w:t>
      </w:r>
    </w:p>
    <w:p w:rsidR="00543419" w:rsidRPr="00F21E72" w:rsidRDefault="00543419" w:rsidP="00543419">
      <w:pPr>
        <w:spacing w:after="60" w:line="252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43419" w:rsidRPr="00F21E72" w:rsidRDefault="00543419" w:rsidP="005434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21E7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2018 елның 27 марты                     </w:t>
      </w:r>
      <w:r w:rsidR="00F21E7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</w:t>
      </w:r>
      <w:r w:rsidRPr="00F21E7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№ 33/1</w:t>
      </w:r>
    </w:p>
    <w:p w:rsidR="00543419" w:rsidRPr="00F21E72" w:rsidRDefault="00543419" w:rsidP="005434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1E72" w:rsidRDefault="00543419" w:rsidP="00543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r w:rsidRPr="00F21E72">
        <w:rPr>
          <w:rFonts w:ascii="Arial" w:eastAsia="Times New Roman" w:hAnsi="Arial" w:cs="Arial"/>
          <w:sz w:val="24"/>
          <w:szCs w:val="24"/>
          <w:lang w:val="tt-RU" w:eastAsia="ru-RU"/>
        </w:rPr>
        <w:t>Яңа Әлмәле</w:t>
      </w:r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3419" w:rsidRPr="00F21E72" w:rsidRDefault="00543419" w:rsidP="005434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җирлеген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төзекләндерү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кагыйдәләренә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үзгәрешләр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кертү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</w:p>
    <w:p w:rsidR="00543419" w:rsidRPr="00F21E72" w:rsidRDefault="00543419" w:rsidP="005434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419" w:rsidRPr="00F21E72" w:rsidRDefault="00543419" w:rsidP="005434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«Россия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Федерациясендә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үзидарә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оештыруның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гомуми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принциплары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» 2003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6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октябрендәге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131-ФЗ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Федераль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законның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14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статьясы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районы прокуроры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протестын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исәпкә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алып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, Татарстан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Яңа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Әлмәле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Советы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кабул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итте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43419" w:rsidRPr="00F21E72" w:rsidRDefault="00543419" w:rsidP="005434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1. Татарстан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Яңа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Әлмәле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Советының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2017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19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сентябрендәге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«Татарстан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Яңа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Әлмәле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җирлеген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төзекләндерү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кагыйдәләрен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раслау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гы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25/2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расланган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Яңа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Әлмәле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җирлеген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төзекләндерү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кагыйдәләренә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үзгәрешләрне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21E72">
        <w:rPr>
          <w:rFonts w:ascii="Arial" w:eastAsia="Times New Roman" w:hAnsi="Arial" w:cs="Arial"/>
          <w:sz w:val="24"/>
          <w:szCs w:val="24"/>
          <w:lang w:eastAsia="ru-RU"/>
        </w:rPr>
        <w:t>кертергә</w:t>
      </w:r>
      <w:proofErr w:type="spellEnd"/>
      <w:r w:rsidRPr="00F21E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а)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түбәндәге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эчтәлекле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1.1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өстәргә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: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>«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кагыйдәләре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Россия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Федерациясе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законнары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Россия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Федерациясенең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башка норматив-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хокукый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актлары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шулай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Татарстан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Республикасы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норматив-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хокукый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актлары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нигезендә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элементларына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карата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таләпләрне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буенча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исемлеген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үткәрү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тәртибен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вакыт-вакытын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билгели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.»;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б)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түбәндәге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эчтәлекле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1.2 пункт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өстәргә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: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 «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кагыйдәләре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мәсьәләләрне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җайга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сала: 1)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гомуми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файдаланудагы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мондый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территорияләрдән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файдалану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тәртибе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2)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биналарның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төзелмәләрнең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фасад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киртәләү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конструкцияләренең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тышкы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 3)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элементларын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проектлау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урнаштыру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торгызу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эшләрен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башкарганнан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соң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gramStart"/>
      <w:r w:rsidRPr="00F21E72">
        <w:rPr>
          <w:rFonts w:ascii="Arial" w:eastAsia="Times New Roman" w:hAnsi="Arial" w:cs="Arial"/>
          <w:iCs/>
          <w:sz w:val="24"/>
          <w:szCs w:val="24"/>
        </w:rPr>
        <w:t>да,;</w:t>
      </w:r>
      <w:proofErr w:type="gram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4)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биналарны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төзелмәләрне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архитектур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яктыртуны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да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кертеп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яктыртуны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5)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яшелләндерүне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торак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чикләрендә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урнашкан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газоннарны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чәчәк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түтәлләрен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үсемлекләре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биләгән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башка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торгызу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саклау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тәртибен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кертеп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6)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мәгълүмат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урнаштыру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урам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исемнәре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йорт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номерлары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элмә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такталары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куелган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күрсәткечләр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урнаштыру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.;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7)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балалар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мәйданчыкларын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хайваннарны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урамда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йөртү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өчен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мәйданчыклар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парковкалар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(парковка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урыннары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), кече архитектура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формаларын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урнаштыру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8)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җәяүлеләр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коммуникацияләрен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тротуарларны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аллеяларны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юлларны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сукмакларны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.;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lastRenderedPageBreak/>
        <w:t xml:space="preserve">9)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күрсәтелгән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территория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буенча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инвалидларның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халыкның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башка аз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хәрәкәтләнүче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төркемнәренең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тоткарлыксыз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хәрәкәтен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тәэмин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максатларында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10)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җыештыру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кышкы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чорда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11)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яңгыр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сулары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агынтыларын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оештыру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 12)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эшләрен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үткәрү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тәртибе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13)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муниципаль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бәйрәмчә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рәсмиләштерү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14)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буенча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тормышка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ашыруда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гражданнар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оешмаларның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катнашу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тәртибе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15)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кагыйдәләрен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үтәүне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тикшереп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тору.»;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в) 6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пунктта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бишенче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абзацны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түбәндәге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редакциядә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бәян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итәргә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: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 «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-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кагыйдәләре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билгеләнгән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комплексын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тормышка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ашыру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гражданнарның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яшәү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шартларын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яхшырту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авыл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территориясенең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санитар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эстетик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торышын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яхшырту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торак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гомуми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кулланылыштагы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кишәрлекләрен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биналарны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якын-тирә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территорияләрне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тоту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буенча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эшчәнлек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;»;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г) 6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пунктта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кырык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дүртенче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абзацны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түбәндәге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редакциядә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бәян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итәргә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: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 «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әгәр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мондый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участогы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барлыкка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килгән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чикләре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Россия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Федерациясе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субъекты законы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билгеләнгән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нигезендә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кагыйдәләре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билгеләнгән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булса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бина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төзелмә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кишәрлеге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янәшәсендәге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территория -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гомуми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файдаланудагы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территория;»;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д) 6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пунктта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алтмышынчы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абзацны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түбәндәге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редакциядә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бәян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итәргә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: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 "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элементлары-декоратив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техник, планировка, конструктив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җайланмалар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яшелләндерү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элементлары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төрле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җиһазлар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бизәү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элементлары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биналарның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фасадларының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кече архитектура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формалары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капиталь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булмаган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стационар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булмаган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мәгълүмат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щитлары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территорияне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төзекләндерүнең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состав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өлешләре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буларак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кулланыла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күрсәткечләр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;»;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е) 97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пунктта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саннар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  <w:lang w:val="tt-RU"/>
        </w:rPr>
        <w:t xml:space="preserve"> </w:t>
      </w:r>
      <w:r w:rsidRPr="00F21E72">
        <w:rPr>
          <w:rFonts w:ascii="Arial" w:eastAsia="Times New Roman" w:hAnsi="Arial" w:cs="Arial"/>
          <w:iCs/>
          <w:sz w:val="24"/>
          <w:szCs w:val="24"/>
        </w:rPr>
        <w:t xml:space="preserve">«98.1, 98.2, 98.3, 98.4, 98.5, 98.6, 98.7, 98.8»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саннар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gramStart"/>
      <w:r w:rsidRPr="00F21E72">
        <w:rPr>
          <w:rFonts w:ascii="Arial" w:eastAsia="Times New Roman" w:hAnsi="Arial" w:cs="Arial"/>
          <w:iCs/>
          <w:sz w:val="24"/>
          <w:szCs w:val="24"/>
        </w:rPr>
        <w:t>алмаштыру«</w:t>
      </w:r>
      <w:proofErr w:type="gram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97.1, 97.2, 97.3, 97.4, 97.5, 97.6, 97.7, 97.8»; 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ж)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түбәндәге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эчтәлекле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98.8 пункт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өстәргә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: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«98.8. Транспорт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чараларының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тукталышында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(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тукталышында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),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исәптән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социаль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инженерлык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транспорт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инфраструктурасы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объектлары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янында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(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торак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иҗтимагый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җитештерү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биналары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корылмалар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физкультура-спорт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оешмалары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мәдәният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оешмалары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башка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оешмалар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), ял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урыннары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янында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I, II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төркем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инвалидлары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шулай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ук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III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төркем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инвалидлар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тарафыннан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идарә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ителә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транспорт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чараларын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түләүсез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парковка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өчен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урыннарның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кимендә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10 проценты (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урыннан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да ким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булмаган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күләмдә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)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бүлеп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бирелә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.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Күрсәтелгән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транспорт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"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Инвалид"тану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билгесе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куелырга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тиеш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. "Инвалид"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танып-белү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билгесен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бирү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тәртибе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Россия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Федерациясе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Хөкүмәте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вәкаләтле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федераль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башкарма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хакимият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органы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тарафыннан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билгеләнә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. Парковка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өчен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күрсәтелгән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урыннарны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башка транспорт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чаралары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алып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торырга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тиеш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түгел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.».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2.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карар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2018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елның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28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июненнән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үз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көченә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керә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торган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1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пунктындагы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«г»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пунктчасыннан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тыш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Татарстан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Республикасы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Чүпрәле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муниципаль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районы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Яңа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Әлмәле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авыл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Уставы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билгеләнгән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нигезендә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махсус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мәгълүмат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стендларында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халыкка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игълан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ителгән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көннән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үз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көченә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керә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.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3.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карарны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Татарстан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Республикасы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хокукый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мәгълүматының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рәсми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порталында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һәм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Татарстан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Республикасы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Чүпрәле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муниципаль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районы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Яңа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Әлмәле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авыл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Уставы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белән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билгеләнгән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тәртип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нигезендә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махсус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мәгълүмат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стендларында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бастырып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чыгарырга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.</w:t>
      </w:r>
    </w:p>
    <w:p w:rsidR="00543419" w:rsidRPr="00F21E72" w:rsidRDefault="00543419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21E72">
        <w:rPr>
          <w:rFonts w:ascii="Arial" w:eastAsia="Times New Roman" w:hAnsi="Arial" w:cs="Arial"/>
          <w:iCs/>
          <w:sz w:val="24"/>
          <w:szCs w:val="24"/>
        </w:rPr>
        <w:t xml:space="preserve">4.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карарның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үтәлешен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тикшереп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тору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Яңа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Әлмәле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авыл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җирлеге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башлыгы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F21E72">
        <w:rPr>
          <w:rFonts w:ascii="Arial" w:eastAsia="Times New Roman" w:hAnsi="Arial" w:cs="Arial"/>
          <w:iCs/>
          <w:sz w:val="24"/>
          <w:szCs w:val="24"/>
          <w:lang w:val="tt-RU"/>
        </w:rPr>
        <w:t>Н.И.Шихрановка</w:t>
      </w:r>
      <w:r w:rsidRPr="00F21E72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Pr="00F21E72">
        <w:rPr>
          <w:rFonts w:ascii="Arial" w:eastAsia="Times New Roman" w:hAnsi="Arial" w:cs="Arial"/>
          <w:iCs/>
          <w:sz w:val="24"/>
          <w:szCs w:val="24"/>
        </w:rPr>
        <w:t>йөкләнде</w:t>
      </w:r>
      <w:proofErr w:type="spellEnd"/>
      <w:r w:rsidRPr="00F21E72">
        <w:rPr>
          <w:rFonts w:ascii="Arial" w:eastAsia="Times New Roman" w:hAnsi="Arial" w:cs="Arial"/>
          <w:iCs/>
          <w:sz w:val="24"/>
          <w:szCs w:val="24"/>
        </w:rPr>
        <w:t>.</w:t>
      </w:r>
    </w:p>
    <w:p w:rsidR="00F21E72" w:rsidRPr="00F21E72" w:rsidRDefault="00F21E72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F21E72" w:rsidRPr="00F21E72" w:rsidRDefault="00F21E72" w:rsidP="00F21E72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F21E72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>Татарстан Республикасы</w:t>
      </w:r>
    </w:p>
    <w:p w:rsidR="00F21E72" w:rsidRPr="00F21E72" w:rsidRDefault="00F21E72" w:rsidP="00F21E72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F21E72">
        <w:rPr>
          <w:rFonts w:ascii="Arial" w:eastAsia="Times New Roman" w:hAnsi="Arial" w:cs="Arial"/>
          <w:noProof/>
          <w:sz w:val="24"/>
          <w:szCs w:val="24"/>
          <w:lang w:val="tt-RU" w:eastAsia="ru-RU"/>
        </w:rPr>
        <w:t>Чүпрәле муни</w:t>
      </w:r>
      <w:r w:rsidRPr="00F21E72">
        <w:rPr>
          <w:rFonts w:ascii="Arial" w:eastAsia="Times New Roman" w:hAnsi="Arial" w:cs="Arial"/>
          <w:noProof/>
          <w:sz w:val="24"/>
          <w:szCs w:val="24"/>
          <w:lang w:eastAsia="ru-RU"/>
        </w:rPr>
        <w:t>ц</w:t>
      </w:r>
      <w:r w:rsidRPr="00F21E72">
        <w:rPr>
          <w:rFonts w:ascii="Arial" w:eastAsia="Times New Roman" w:hAnsi="Arial" w:cs="Arial"/>
          <w:noProof/>
          <w:sz w:val="24"/>
          <w:szCs w:val="24"/>
          <w:lang w:val="tt-RU" w:eastAsia="ru-RU"/>
        </w:rPr>
        <w:t>ипал</w:t>
      </w:r>
      <w:r w:rsidRPr="00F21E72">
        <w:rPr>
          <w:rFonts w:ascii="Arial" w:eastAsia="Times New Roman" w:hAnsi="Arial" w:cs="Arial"/>
          <w:noProof/>
          <w:sz w:val="24"/>
          <w:szCs w:val="24"/>
          <w:lang w:eastAsia="ru-RU"/>
        </w:rPr>
        <w:t>ь районы</w:t>
      </w:r>
    </w:p>
    <w:p w:rsidR="00F21E72" w:rsidRPr="00F21E72" w:rsidRDefault="00F21E72" w:rsidP="00F21E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21E72">
        <w:rPr>
          <w:rFonts w:ascii="Arial" w:eastAsia="Times New Roman" w:hAnsi="Arial" w:cs="Arial"/>
          <w:noProof/>
          <w:sz w:val="24"/>
          <w:szCs w:val="24"/>
          <w:lang w:val="tt-RU" w:eastAsia="ru-RU"/>
        </w:rPr>
        <w:t>Яңа Әлмәле авыл җирлеге башлыгы</w:t>
      </w:r>
      <w:r w:rsidRPr="00F21E72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:                              </w:t>
      </w:r>
      <w:r w:rsidRPr="00F21E72">
        <w:rPr>
          <w:rFonts w:ascii="Arial" w:eastAsia="Times New Roman" w:hAnsi="Arial" w:cs="Arial"/>
          <w:noProof/>
          <w:sz w:val="24"/>
          <w:szCs w:val="24"/>
          <w:lang w:val="tt-RU" w:eastAsia="ru-RU"/>
        </w:rPr>
        <w:t xml:space="preserve">                            Н.И. Шихранов</w:t>
      </w:r>
    </w:p>
    <w:p w:rsidR="00F21E72" w:rsidRPr="00F21E72" w:rsidRDefault="00F21E72" w:rsidP="0054341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543419" w:rsidRPr="00F21E72" w:rsidRDefault="00543419" w:rsidP="005434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05C" w:rsidRPr="00F21E72" w:rsidRDefault="002B605C">
      <w:pPr>
        <w:rPr>
          <w:rFonts w:ascii="Arial" w:hAnsi="Arial" w:cs="Arial"/>
          <w:sz w:val="24"/>
          <w:szCs w:val="24"/>
        </w:rPr>
      </w:pPr>
    </w:p>
    <w:sectPr w:rsidR="002B605C" w:rsidRPr="00F21E72" w:rsidSect="00543419">
      <w:footerReference w:type="default" r:id="rId6"/>
      <w:pgSz w:w="11906" w:h="16838"/>
      <w:pgMar w:top="454" w:right="850" w:bottom="45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1E" w:rsidRDefault="00083C1E" w:rsidP="00543419">
      <w:pPr>
        <w:spacing w:after="0" w:line="240" w:lineRule="auto"/>
      </w:pPr>
      <w:r>
        <w:separator/>
      </w:r>
    </w:p>
  </w:endnote>
  <w:endnote w:type="continuationSeparator" w:id="0">
    <w:p w:rsidR="00083C1E" w:rsidRDefault="00083C1E" w:rsidP="0054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065239"/>
      <w:docPartObj>
        <w:docPartGallery w:val="Page Numbers (Bottom of Page)"/>
        <w:docPartUnique/>
      </w:docPartObj>
    </w:sdtPr>
    <w:sdtEndPr/>
    <w:sdtContent>
      <w:p w:rsidR="00543419" w:rsidRDefault="005434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72">
          <w:rPr>
            <w:noProof/>
          </w:rPr>
          <w:t>2</w:t>
        </w:r>
        <w:r>
          <w:fldChar w:fldCharType="end"/>
        </w:r>
      </w:p>
    </w:sdtContent>
  </w:sdt>
  <w:p w:rsidR="00543419" w:rsidRDefault="00543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1E" w:rsidRDefault="00083C1E" w:rsidP="00543419">
      <w:pPr>
        <w:spacing w:after="0" w:line="240" w:lineRule="auto"/>
      </w:pPr>
      <w:r>
        <w:separator/>
      </w:r>
    </w:p>
  </w:footnote>
  <w:footnote w:type="continuationSeparator" w:id="0">
    <w:p w:rsidR="00083C1E" w:rsidRDefault="00083C1E" w:rsidP="0054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C1"/>
    <w:rsid w:val="00083C1E"/>
    <w:rsid w:val="002B605C"/>
    <w:rsid w:val="00543419"/>
    <w:rsid w:val="00917DC4"/>
    <w:rsid w:val="00BD70C1"/>
    <w:rsid w:val="00EF3630"/>
    <w:rsid w:val="00F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4D3F"/>
  <w15:chartTrackingRefBased/>
  <w15:docId w15:val="{403A0210-503C-4284-BB02-6A4FA3E2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419"/>
  </w:style>
  <w:style w:type="paragraph" w:styleId="a5">
    <w:name w:val="footer"/>
    <w:basedOn w:val="a"/>
    <w:link w:val="a6"/>
    <w:uiPriority w:val="99"/>
    <w:unhideWhenUsed/>
    <w:rsid w:val="0054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2022-08-31T11:55:00Z</dcterms:created>
  <dcterms:modified xsi:type="dcterms:W3CDTF">2022-08-31T11:59:00Z</dcterms:modified>
</cp:coreProperties>
</file>